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www.wikarska.com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Ing. Monika Wikarska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Rybářská 360/28, 60300 Brno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>zde vyplňte IČ/DIČ, pokud jej máte k dispozici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monika@wikarska.com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>+420 792 373 219 / +421 919 172 179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Footer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bottom"/>
        </w:tcPr>
        <w:p>
          <w:pPr>
            <w:pStyle w:val="Footer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Foo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Footer"/>
      <w:rPr>
        <w:i/>
        <w:i/>
        <w:color w:val="808080" w:themeColor="background1" w:themeShade="80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Cambria" w:hAnsi="Cambria" w:eastAsia="" w:cs="" w:asciiTheme="majorHAnsi" w:cstheme="majorBidi" w:eastAsiaTheme="majorEastAsia" w:hAnsiTheme="majorHAnsi"/>
        <w:i/>
        <w:i/>
        <w:sz w:val="26"/>
        <w:szCs w:val="26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paragraph" w:styleId="Heading1">
    <w:name w:val="Heading 1"/>
    <w:basedOn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Link">
    <w:name w:val="Internet 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Calibri" w:hAnsi="Calibri" w:cs="Calibri"/>
      <w:b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LibreOffice/5.0.4.2$MacOSX_X86_64 LibreOffice_project/2b9802c1994aa0b7dc6079e128979269cf95bc78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language>en-US</dc:language>
  <cp:lastPrinted>2014-01-14T15:43:00Z</cp:lastPrinted>
  <dcterms:modified xsi:type="dcterms:W3CDTF">2021-02-28T22:41:01Z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